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6320" w14:textId="77777777" w:rsidR="00BF651A" w:rsidRPr="00BF651A" w:rsidRDefault="00D356B9"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4384" behindDoc="0" locked="0" layoutInCell="1" allowOverlap="1" wp14:anchorId="22D0266C" wp14:editId="265ED354">
                <wp:simplePos x="0" y="0"/>
                <wp:positionH relativeFrom="column">
                  <wp:posOffset>6115050</wp:posOffset>
                </wp:positionH>
                <wp:positionV relativeFrom="paragraph">
                  <wp:posOffset>-36195</wp:posOffset>
                </wp:positionV>
                <wp:extent cx="2876550" cy="24765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247650"/>
                        </a:xfrm>
                        <a:prstGeom prst="rect">
                          <a:avLst/>
                        </a:prstGeom>
                        <a:extLst>
                          <a:ext uri="{AF507438-7753-43E0-B8FC-AC1667EBCBE1}">
                            <a14:hiddenEffects xmlns:a14="http://schemas.microsoft.com/office/drawing/2010/main">
                              <a:effectLst/>
                            </a14:hiddenEffects>
                          </a:ext>
                        </a:extLst>
                      </wps:spPr>
                      <wps:txbx>
                        <w:txbxContent>
                          <w:p w14:paraId="29429D5F" w14:textId="77777777"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D356B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みどり</w:t>
                            </w:r>
                            <w:r w:rsidR="001B09B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小学校</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D0266C" id="_x0000_t202" coordsize="21600,21600" o:spt="202" path="m,l,21600r21600,l21600,xe">
                <v:stroke joinstyle="miter"/>
                <v:path gradientshapeok="t" o:connecttype="rect"/>
              </v:shapetype>
              <v:shape id="WordArt 2" o:spid="_x0000_s1026" type="#_x0000_t202" style="position:absolute;left:0;text-align:left;margin-left:481.5pt;margin-top:-2.85pt;width:226.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" filled="f" stroked="f">
                <o:lock v:ext="edit" shapetype="t"/>
                <v:textbox>
                  <w:txbxContent>
                    <w:p w14:paraId="29429D5F" w14:textId="77777777"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D356B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みどり</w:t>
                      </w:r>
                      <w:r w:rsidR="001B09B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小学校</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r w:rsidR="001546B0">
        <w:rPr>
          <w:noProof/>
          <w:szCs w:val="21"/>
        </w:rPr>
        <mc:AlternateContent>
          <mc:Choice Requires="wps">
            <w:drawing>
              <wp:anchor distT="0" distB="0" distL="114300" distR="114300" simplePos="0" relativeHeight="251660288" behindDoc="0" locked="0" layoutInCell="1" allowOverlap="1" wp14:anchorId="1EDE0C0B" wp14:editId="4780C342">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2F90EFB0"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9CBA770" id="_x0000_s1027"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" filled="f" stroked="f">
                <o:lock v:ext="edit" shapetype="t"/>
                <v:textbox>
                  <w:txbxContent>
                    <w:p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61917D98"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31CF9CD6" wp14:editId="04C079C4">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C91ADD"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281876DD"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D94C963"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w:t>
                            </w:r>
                            <w:r w:rsidR="00313239">
                              <w:rPr>
                                <w:rFonts w:ascii="ＭＳ ゴシック" w:eastAsia="ＭＳ ゴシック" w:hAnsi="ＭＳ ゴシック" w:hint="eastAsia"/>
                                <w:b/>
                                <w:color w:val="000000" w:themeColor="text1"/>
                                <w:sz w:val="20"/>
                                <w:szCs w:val="20"/>
                              </w:rPr>
                              <w:t>る</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FFEB148"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5AC83"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" fillcolor="white [3201]" strokecolor="black [3200]" strokeweight="2.5pt">
                <v:shadow color="#868686"/>
                <v:textbox inset="5.85pt,.7pt,5.85pt,.7pt">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w:t>
                      </w:r>
                      <w:r w:rsidR="00313239">
                        <w:rPr>
                          <w:rFonts w:ascii="ＭＳ ゴシック" w:eastAsia="ＭＳ ゴシック" w:hAnsi="ＭＳ ゴシック" w:hint="eastAsia"/>
                          <w:b/>
                          <w:color w:val="000000" w:themeColor="text1"/>
                          <w:sz w:val="20"/>
                          <w:szCs w:val="20"/>
                        </w:rPr>
                        <w:t>る</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258C083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0822D65C"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B862E63"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5AE50D3"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B5F85B8"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00AAB527"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0A99C03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47706FD9"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F7FBE8F"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22BE4EEA"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9E62E1D"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0E83F6D7"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7A14395"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F05E61A"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2FF43CC3"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47CBC308"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27107AA8"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0597406"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12C4D855"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24ABF9AA"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7495BEDA"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2FC7B811"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1BED3C38"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772BF43A"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6C4544A3"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38670CE3"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64663B0D"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F452B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78160D05"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00FE7128"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3C47B438"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25D99406"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674B52F2"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3E3E35A8"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39D3177"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707F8E59"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6884F0BA"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4F140E46"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4F74733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4173D786"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141FF66A"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93D05F8"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251ABD2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0DD86F7F"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433A103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258BCBFE"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7F1D9ED8"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2E63C0ED"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43ED12B3"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78F32541"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22E932B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5F60130C"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4FB9FE28"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2D58221E"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001B09B9">
              <w:rPr>
                <w:rFonts w:asciiTheme="majorEastAsia" w:eastAsiaTheme="majorEastAsia" w:hAnsiTheme="majorEastAsia" w:hint="eastAsia"/>
                <w:color w:val="000000" w:themeColor="text1"/>
                <w:kern w:val="0"/>
                <w:sz w:val="20"/>
                <w:szCs w:val="20"/>
              </w:rPr>
              <w:t>繰り返す</w:t>
            </w:r>
          </w:p>
          <w:p w14:paraId="2921ADB8"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0C123700"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1D4B598"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484763B5"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75C8E846"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3783B73F"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5319C26E"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1E44C7EF"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FB6EAB9" w14:textId="77777777" w:rsidR="004518D3" w:rsidRPr="00313239" w:rsidRDefault="00227D59" w:rsidP="00313239">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313239">
              <w:rPr>
                <w:rFonts w:asciiTheme="majorEastAsia" w:eastAsiaTheme="majorEastAsia" w:hAnsiTheme="majorEastAsia" w:hint="eastAsia"/>
                <w:color w:val="000000" w:themeColor="text1"/>
                <w:szCs w:val="21"/>
              </w:rPr>
              <w:t>万引きや・喫煙</w:t>
            </w:r>
            <w:r w:rsidR="009F7C9D" w:rsidRPr="00313239">
              <w:rPr>
                <w:rFonts w:asciiTheme="majorEastAsia" w:eastAsiaTheme="majorEastAsia" w:hAnsiTheme="majorEastAsia" w:hint="eastAsia"/>
                <w:color w:val="000000" w:themeColor="text1"/>
                <w:szCs w:val="21"/>
              </w:rPr>
              <w:t>など</w:t>
            </w:r>
            <w:r w:rsidRPr="00313239">
              <w:rPr>
                <w:rFonts w:asciiTheme="majorEastAsia" w:eastAsiaTheme="majorEastAsia" w:hAnsiTheme="majorEastAsia" w:hint="eastAsia"/>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37579F50"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37878D50"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66451A51"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040F709E"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0881A5DC"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03C78F4D"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19D12B95"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70C49B45"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670BF445" wp14:editId="50A6F161">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1127C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462EFA18" w14:textId="1A7202F1" w:rsidR="00A17B72" w:rsidRPr="00D07866" w:rsidRDefault="00A17B72" w:rsidP="002F1551">
                            <w:pPr>
                              <w:spacing w:line="220" w:lineRule="exact"/>
                              <w:ind w:left="301" w:hangingChars="150" w:hanging="3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F1551">
                              <w:rPr>
                                <w:rFonts w:ascii="ＭＳ ゴシック" w:eastAsia="ＭＳ ゴシック" w:hAnsi="ＭＳ ゴシック" w:hint="eastAsia"/>
                                <w:b/>
                                <w:color w:val="000000" w:themeColor="text1"/>
                                <w:sz w:val="20"/>
                                <w:szCs w:val="20"/>
                              </w:rPr>
                              <w:t xml:space="preserve"> </w:t>
                            </w: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w:t>
                            </w:r>
                            <w:r w:rsidR="001B09B9">
                              <w:rPr>
                                <w:rFonts w:ascii="ＭＳ ゴシック" w:eastAsia="ＭＳ ゴシック" w:hAnsi="ＭＳ ゴシック" w:hint="eastAsia"/>
                                <w:b/>
                                <w:color w:val="000000" w:themeColor="text1"/>
                                <w:sz w:val="20"/>
                                <w:szCs w:val="20"/>
                              </w:rPr>
                              <w:t>最低限の</w:t>
                            </w:r>
                            <w:r w:rsidR="001B09B9">
                              <w:rPr>
                                <w:rFonts w:ascii="ＭＳ ゴシック" w:eastAsia="ＭＳ ゴシック" w:hAnsi="ＭＳ ゴシック"/>
                                <w:b/>
                                <w:color w:val="000000" w:themeColor="text1"/>
                                <w:sz w:val="20"/>
                                <w:szCs w:val="20"/>
                              </w:rPr>
                              <w:t>約束事です</w:t>
                            </w:r>
                            <w:r w:rsidRPr="00D07866">
                              <w:rPr>
                                <w:rFonts w:ascii="ＭＳ ゴシック" w:eastAsia="ＭＳ ゴシック" w:hAnsi="ＭＳ ゴシック"/>
                                <w:b/>
                                <w:color w:val="000000" w:themeColor="text1"/>
                                <w:sz w:val="20"/>
                                <w:szCs w:val="20"/>
                              </w:rPr>
                              <w:t>。</w:t>
                            </w:r>
                            <w:r w:rsidR="001B09B9">
                              <w:rPr>
                                <w:rFonts w:ascii="ＭＳ ゴシック" w:eastAsia="ＭＳ ゴシック" w:hAnsi="ＭＳ ゴシック" w:hint="eastAsia"/>
                                <w:b/>
                                <w:color w:val="000000" w:themeColor="text1"/>
                                <w:sz w:val="20"/>
                                <w:szCs w:val="20"/>
                              </w:rPr>
                              <w:t>大阪市</w:t>
                            </w:r>
                            <w:r w:rsidR="001B09B9">
                              <w:rPr>
                                <w:rFonts w:ascii="ＭＳ ゴシック" w:eastAsia="ＭＳ ゴシック" w:hAnsi="ＭＳ ゴシック"/>
                                <w:b/>
                                <w:color w:val="000000" w:themeColor="text1"/>
                                <w:sz w:val="20"/>
                                <w:szCs w:val="20"/>
                              </w:rPr>
                              <w:t>の各</w:t>
                            </w:r>
                            <w:r w:rsidR="007723C7">
                              <w:rPr>
                                <w:rFonts w:ascii="ＭＳ ゴシック" w:eastAsia="ＭＳ ゴシック" w:hAnsi="ＭＳ ゴシック" w:hint="eastAsia"/>
                                <w:b/>
                                <w:color w:val="000000" w:themeColor="text1"/>
                                <w:sz w:val="20"/>
                                <w:szCs w:val="20"/>
                              </w:rPr>
                              <w:t>小中学校</w:t>
                            </w:r>
                            <w:r w:rsidR="001B09B9">
                              <w:rPr>
                                <w:rFonts w:ascii="ＭＳ ゴシック" w:eastAsia="ＭＳ ゴシック" w:hAnsi="ＭＳ ゴシック" w:hint="eastAsia"/>
                                <w:b/>
                                <w:color w:val="000000" w:themeColor="text1"/>
                                <w:sz w:val="20"/>
                                <w:szCs w:val="20"/>
                              </w:rPr>
                              <w:t>の</w:t>
                            </w:r>
                            <w:r w:rsidR="00E638FF">
                              <w:rPr>
                                <w:rFonts w:ascii="ＭＳ ゴシック" w:eastAsia="ＭＳ ゴシック" w:hAnsi="ＭＳ ゴシック" w:hint="eastAsia"/>
                                <w:b/>
                                <w:color w:val="000000" w:themeColor="text1"/>
                                <w:sz w:val="20"/>
                                <w:szCs w:val="20"/>
                              </w:rPr>
                              <w:t>スタンダードモデル</w:t>
                            </w:r>
                            <w:r w:rsidR="001B09B9">
                              <w:rPr>
                                <w:rFonts w:ascii="ＭＳ ゴシック" w:eastAsia="ＭＳ ゴシック" w:hAnsi="ＭＳ ゴシック" w:hint="eastAsia"/>
                                <w:b/>
                                <w:color w:val="000000" w:themeColor="text1"/>
                                <w:sz w:val="20"/>
                                <w:szCs w:val="20"/>
                              </w:rPr>
                              <w:t>として</w:t>
                            </w:r>
                            <w:r w:rsidR="001B09B9">
                              <w:rPr>
                                <w:rFonts w:ascii="ＭＳ ゴシック" w:eastAsia="ＭＳ ゴシック" w:hAnsi="ＭＳ ゴシック"/>
                                <w:b/>
                                <w:color w:val="000000" w:themeColor="text1"/>
                                <w:sz w:val="20"/>
                                <w:szCs w:val="20"/>
                              </w:rPr>
                              <w:t>、大阪市教育委員会が</w:t>
                            </w:r>
                            <w:r w:rsidR="001B09B9">
                              <w:rPr>
                                <w:rFonts w:ascii="ＭＳ ゴシック" w:eastAsia="ＭＳ ゴシック" w:hAnsi="ＭＳ ゴシック" w:hint="eastAsia"/>
                                <w:b/>
                                <w:color w:val="000000" w:themeColor="text1"/>
                                <w:sz w:val="20"/>
                                <w:szCs w:val="20"/>
                              </w:rPr>
                              <w:t>提案しました</w:t>
                            </w:r>
                            <w:r w:rsidR="007C5063" w:rsidRPr="00D07866">
                              <w:rPr>
                                <w:rFonts w:ascii="ＭＳ ゴシック" w:eastAsia="ＭＳ ゴシック" w:hAnsi="ＭＳ ゴシック" w:hint="eastAsia"/>
                                <w:b/>
                                <w:color w:val="000000" w:themeColor="text1"/>
                                <w:sz w:val="20"/>
                                <w:szCs w:val="20"/>
                              </w:rPr>
                              <w:t>。</w:t>
                            </w:r>
                          </w:p>
                          <w:p w14:paraId="133D429D" w14:textId="22E7857C"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F1551">
                              <w:rPr>
                                <w:rFonts w:ascii="ＭＳ ゴシック" w:eastAsia="ＭＳ ゴシック" w:hAnsi="ＭＳ ゴシック" w:hint="eastAsia"/>
                                <w:b/>
                                <w:color w:val="000000" w:themeColor="text1"/>
                                <w:sz w:val="20"/>
                                <w:szCs w:val="20"/>
                              </w:rPr>
                              <w:t xml:space="preserve"> </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03136FC"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B1732FE"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747A0A4" w14:textId="2C234476" w:rsidR="002F1551" w:rsidRPr="002F1551" w:rsidRDefault="002F1551" w:rsidP="002F1551">
                            <w:pPr>
                              <w:spacing w:line="240" w:lineRule="exact"/>
                              <w:ind w:left="201" w:hangingChars="100" w:hanging="201"/>
                              <w:jc w:val="left"/>
                              <w:rPr>
                                <w:rFonts w:ascii="ＭＳ ゴシック" w:eastAsia="ＭＳ ゴシック" w:hAnsi="ＭＳ ゴシック" w:hint="eastAsia"/>
                                <w:b/>
                                <w:color w:val="000000" w:themeColor="text1"/>
                                <w:sz w:val="20"/>
                                <w:szCs w:val="20"/>
                              </w:rPr>
                            </w:pPr>
                            <w:r>
                              <w:rPr>
                                <w:rFonts w:ascii="ＭＳ ゴシック" w:eastAsia="ＭＳ ゴシック" w:hAnsi="ＭＳ ゴシック" w:hint="eastAsia"/>
                                <w:b/>
                                <w:color w:val="000000" w:themeColor="text1"/>
                                <w:sz w:val="20"/>
                                <w:szCs w:val="20"/>
                              </w:rPr>
                              <w:t xml:space="preserve">※ </w:t>
                            </w:r>
                            <w:r w:rsidRPr="002F1551">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学校生活以外の事案に関しては、段階にかかわらず関係諸機関との連携となる場合があります。（SNSにかかる事案に関しても同様です。）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BF445"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" fillcolor="white [3201]" strokecolor="black [3200]" strokeweight="2.5pt">
                <v:stroke linestyle="thinThin"/>
                <v:shadow color="#868686"/>
                <v:textbox inset="5.85pt,.7pt,5.85pt,.7pt">
                  <w:txbxContent>
                    <w:p w14:paraId="6D1127C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462EFA18" w14:textId="1A7202F1" w:rsidR="00A17B72" w:rsidRPr="00D07866" w:rsidRDefault="00A17B72" w:rsidP="002F1551">
                      <w:pPr>
                        <w:spacing w:line="220" w:lineRule="exact"/>
                        <w:ind w:left="301" w:hangingChars="150" w:hanging="3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F1551">
                        <w:rPr>
                          <w:rFonts w:ascii="ＭＳ ゴシック" w:eastAsia="ＭＳ ゴシック" w:hAnsi="ＭＳ ゴシック" w:hint="eastAsia"/>
                          <w:b/>
                          <w:color w:val="000000" w:themeColor="text1"/>
                          <w:sz w:val="20"/>
                          <w:szCs w:val="20"/>
                        </w:rPr>
                        <w:t xml:space="preserve"> </w:t>
                      </w: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w:t>
                      </w:r>
                      <w:r w:rsidR="001B09B9">
                        <w:rPr>
                          <w:rFonts w:ascii="ＭＳ ゴシック" w:eastAsia="ＭＳ ゴシック" w:hAnsi="ＭＳ ゴシック" w:hint="eastAsia"/>
                          <w:b/>
                          <w:color w:val="000000" w:themeColor="text1"/>
                          <w:sz w:val="20"/>
                          <w:szCs w:val="20"/>
                        </w:rPr>
                        <w:t>最低限の</w:t>
                      </w:r>
                      <w:r w:rsidR="001B09B9">
                        <w:rPr>
                          <w:rFonts w:ascii="ＭＳ ゴシック" w:eastAsia="ＭＳ ゴシック" w:hAnsi="ＭＳ ゴシック"/>
                          <w:b/>
                          <w:color w:val="000000" w:themeColor="text1"/>
                          <w:sz w:val="20"/>
                          <w:szCs w:val="20"/>
                        </w:rPr>
                        <w:t>約束事です</w:t>
                      </w:r>
                      <w:r w:rsidRPr="00D07866">
                        <w:rPr>
                          <w:rFonts w:ascii="ＭＳ ゴシック" w:eastAsia="ＭＳ ゴシック" w:hAnsi="ＭＳ ゴシック"/>
                          <w:b/>
                          <w:color w:val="000000" w:themeColor="text1"/>
                          <w:sz w:val="20"/>
                          <w:szCs w:val="20"/>
                        </w:rPr>
                        <w:t>。</w:t>
                      </w:r>
                      <w:r w:rsidR="001B09B9">
                        <w:rPr>
                          <w:rFonts w:ascii="ＭＳ ゴシック" w:eastAsia="ＭＳ ゴシック" w:hAnsi="ＭＳ ゴシック" w:hint="eastAsia"/>
                          <w:b/>
                          <w:color w:val="000000" w:themeColor="text1"/>
                          <w:sz w:val="20"/>
                          <w:szCs w:val="20"/>
                        </w:rPr>
                        <w:t>大阪市</w:t>
                      </w:r>
                      <w:r w:rsidR="001B09B9">
                        <w:rPr>
                          <w:rFonts w:ascii="ＭＳ ゴシック" w:eastAsia="ＭＳ ゴシック" w:hAnsi="ＭＳ ゴシック"/>
                          <w:b/>
                          <w:color w:val="000000" w:themeColor="text1"/>
                          <w:sz w:val="20"/>
                          <w:szCs w:val="20"/>
                        </w:rPr>
                        <w:t>の各</w:t>
                      </w:r>
                      <w:r w:rsidR="007723C7">
                        <w:rPr>
                          <w:rFonts w:ascii="ＭＳ ゴシック" w:eastAsia="ＭＳ ゴシック" w:hAnsi="ＭＳ ゴシック" w:hint="eastAsia"/>
                          <w:b/>
                          <w:color w:val="000000" w:themeColor="text1"/>
                          <w:sz w:val="20"/>
                          <w:szCs w:val="20"/>
                        </w:rPr>
                        <w:t>小中学校</w:t>
                      </w:r>
                      <w:r w:rsidR="001B09B9">
                        <w:rPr>
                          <w:rFonts w:ascii="ＭＳ ゴシック" w:eastAsia="ＭＳ ゴシック" w:hAnsi="ＭＳ ゴシック" w:hint="eastAsia"/>
                          <w:b/>
                          <w:color w:val="000000" w:themeColor="text1"/>
                          <w:sz w:val="20"/>
                          <w:szCs w:val="20"/>
                        </w:rPr>
                        <w:t>の</w:t>
                      </w:r>
                      <w:r w:rsidR="00E638FF">
                        <w:rPr>
                          <w:rFonts w:ascii="ＭＳ ゴシック" w:eastAsia="ＭＳ ゴシック" w:hAnsi="ＭＳ ゴシック" w:hint="eastAsia"/>
                          <w:b/>
                          <w:color w:val="000000" w:themeColor="text1"/>
                          <w:sz w:val="20"/>
                          <w:szCs w:val="20"/>
                        </w:rPr>
                        <w:t>スタンダードモデル</w:t>
                      </w:r>
                      <w:r w:rsidR="001B09B9">
                        <w:rPr>
                          <w:rFonts w:ascii="ＭＳ ゴシック" w:eastAsia="ＭＳ ゴシック" w:hAnsi="ＭＳ ゴシック" w:hint="eastAsia"/>
                          <w:b/>
                          <w:color w:val="000000" w:themeColor="text1"/>
                          <w:sz w:val="20"/>
                          <w:szCs w:val="20"/>
                        </w:rPr>
                        <w:t>として</w:t>
                      </w:r>
                      <w:r w:rsidR="001B09B9">
                        <w:rPr>
                          <w:rFonts w:ascii="ＭＳ ゴシック" w:eastAsia="ＭＳ ゴシック" w:hAnsi="ＭＳ ゴシック"/>
                          <w:b/>
                          <w:color w:val="000000" w:themeColor="text1"/>
                          <w:sz w:val="20"/>
                          <w:szCs w:val="20"/>
                        </w:rPr>
                        <w:t>、大阪市教育委員会が</w:t>
                      </w:r>
                      <w:r w:rsidR="001B09B9">
                        <w:rPr>
                          <w:rFonts w:ascii="ＭＳ ゴシック" w:eastAsia="ＭＳ ゴシック" w:hAnsi="ＭＳ ゴシック" w:hint="eastAsia"/>
                          <w:b/>
                          <w:color w:val="000000" w:themeColor="text1"/>
                          <w:sz w:val="20"/>
                          <w:szCs w:val="20"/>
                        </w:rPr>
                        <w:t>提案しました</w:t>
                      </w:r>
                      <w:r w:rsidR="007C5063" w:rsidRPr="00D07866">
                        <w:rPr>
                          <w:rFonts w:ascii="ＭＳ ゴシック" w:eastAsia="ＭＳ ゴシック" w:hAnsi="ＭＳ ゴシック" w:hint="eastAsia"/>
                          <w:b/>
                          <w:color w:val="000000" w:themeColor="text1"/>
                          <w:sz w:val="20"/>
                          <w:szCs w:val="20"/>
                        </w:rPr>
                        <w:t>。</w:t>
                      </w:r>
                    </w:p>
                    <w:p w14:paraId="133D429D" w14:textId="22E7857C"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F1551">
                        <w:rPr>
                          <w:rFonts w:ascii="ＭＳ ゴシック" w:eastAsia="ＭＳ ゴシック" w:hAnsi="ＭＳ ゴシック" w:hint="eastAsia"/>
                          <w:b/>
                          <w:color w:val="000000" w:themeColor="text1"/>
                          <w:sz w:val="20"/>
                          <w:szCs w:val="20"/>
                        </w:rPr>
                        <w:t xml:space="preserve"> </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03136FC"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B1732FE"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747A0A4" w14:textId="2C234476" w:rsidR="002F1551" w:rsidRPr="002F1551" w:rsidRDefault="002F1551" w:rsidP="002F1551">
                      <w:pPr>
                        <w:spacing w:line="240" w:lineRule="exact"/>
                        <w:ind w:left="201" w:hangingChars="100" w:hanging="201"/>
                        <w:jc w:val="left"/>
                        <w:rPr>
                          <w:rFonts w:ascii="ＭＳ ゴシック" w:eastAsia="ＭＳ ゴシック" w:hAnsi="ＭＳ ゴシック" w:hint="eastAsia"/>
                          <w:b/>
                          <w:color w:val="000000" w:themeColor="text1"/>
                          <w:sz w:val="20"/>
                          <w:szCs w:val="20"/>
                        </w:rPr>
                      </w:pPr>
                      <w:r>
                        <w:rPr>
                          <w:rFonts w:ascii="ＭＳ ゴシック" w:eastAsia="ＭＳ ゴシック" w:hAnsi="ＭＳ ゴシック" w:hint="eastAsia"/>
                          <w:b/>
                          <w:color w:val="000000" w:themeColor="text1"/>
                          <w:sz w:val="20"/>
                          <w:szCs w:val="20"/>
                        </w:rPr>
                        <w:t xml:space="preserve">※ </w:t>
                      </w:r>
                      <w:r w:rsidRPr="002F1551">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学校生活以外の事案に関しては、段階にかかわらず関係諸機関との連携となる場合があります。（SNSにかかる事案に関しても同様です。）</w:t>
                      </w:r>
                    </w:p>
                  </w:txbxContent>
                </v:textbox>
                <w10:wrap anchorx="margin"/>
              </v:roundrect>
            </w:pict>
          </mc:Fallback>
        </mc:AlternateContent>
      </w:r>
    </w:p>
    <w:p w14:paraId="4185A8AB" w14:textId="77777777" w:rsidR="00AA5B3E" w:rsidRDefault="00AA5B3E" w:rsidP="00AD3F1C">
      <w:pPr>
        <w:rPr>
          <w:sz w:val="16"/>
          <w:szCs w:val="16"/>
        </w:rPr>
      </w:pPr>
    </w:p>
    <w:p w14:paraId="3FA472AD" w14:textId="77777777"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9BFB" w14:textId="77777777" w:rsidR="001E45D0" w:rsidRDefault="001E45D0" w:rsidP="003404C4">
      <w:r>
        <w:separator/>
      </w:r>
    </w:p>
  </w:endnote>
  <w:endnote w:type="continuationSeparator" w:id="0">
    <w:p w14:paraId="65F6F083"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2D7B" w14:textId="77777777" w:rsidR="001E45D0" w:rsidRDefault="001E45D0" w:rsidP="003404C4">
      <w:r>
        <w:separator/>
      </w:r>
    </w:p>
  </w:footnote>
  <w:footnote w:type="continuationSeparator" w:id="0">
    <w:p w14:paraId="3FF12853"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09B9"/>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2F1551"/>
    <w:rsid w:val="00303720"/>
    <w:rsid w:val="00313239"/>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E5E40"/>
    <w:rsid w:val="009F3C9A"/>
    <w:rsid w:val="009F7C9D"/>
    <w:rsid w:val="00A0103D"/>
    <w:rsid w:val="00A1507C"/>
    <w:rsid w:val="00A15274"/>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E5D53"/>
    <w:rsid w:val="00CF3AA0"/>
    <w:rsid w:val="00CF5D7F"/>
    <w:rsid w:val="00D07866"/>
    <w:rsid w:val="00D14895"/>
    <w:rsid w:val="00D24744"/>
    <w:rsid w:val="00D24E12"/>
    <w:rsid w:val="00D3340D"/>
    <w:rsid w:val="00D356B9"/>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4219D9"/>
  <w15:docId w15:val="{D1685EAF-E94D-4FDC-8A58-C689613D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3BB5F-2373-4E96-9E78-933C4CBB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gkf410253</cp:lastModifiedBy>
  <cp:revision>3</cp:revision>
  <cp:lastPrinted>2017-04-27T23:58:00Z</cp:lastPrinted>
  <dcterms:created xsi:type="dcterms:W3CDTF">2019-04-26T09:22:00Z</dcterms:created>
  <dcterms:modified xsi:type="dcterms:W3CDTF">2025-02-25T06:54:00Z</dcterms:modified>
</cp:coreProperties>
</file>