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C3F1" w14:textId="327EBE75" w:rsidR="00BF651A" w:rsidRPr="00BF651A" w:rsidRDefault="001546B0"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0288" behindDoc="0" locked="0" layoutInCell="1" allowOverlap="1" wp14:anchorId="45AE5896" wp14:editId="0138EC19">
                <wp:simplePos x="0" y="0"/>
                <wp:positionH relativeFrom="column">
                  <wp:posOffset>1009650</wp:posOffset>
                </wp:positionH>
                <wp:positionV relativeFrom="paragraph">
                  <wp:posOffset>-147955</wp:posOffset>
                </wp:positionV>
                <wp:extent cx="81343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134350" cy="361950"/>
                        </a:xfrm>
                        <a:prstGeom prst="rect">
                          <a:avLst/>
                        </a:prstGeom>
                        <a:extLst>
                          <a:ext uri="{AF507438-7753-43E0-B8FC-AC1667EBCBE1}">
                            <a14:hiddenEffects xmlns:a14="http://schemas.microsoft.com/office/drawing/2010/main">
                              <a:effectLst/>
                            </a14:hiddenEffects>
                          </a:ext>
                        </a:extLst>
                      </wps:spPr>
                      <wps:txbx>
                        <w:txbxContent>
                          <w:p w14:paraId="05EAD524" w14:textId="3A5CDF8B" w:rsidR="00AA526A" w:rsidRDefault="00AA526A" w:rsidP="00AA526A">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令和</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７</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年度　「学校安心ルール」大阪市立清水丘小学校</w:t>
                            </w:r>
                          </w:p>
                          <w:p w14:paraId="6D4E1F13" w14:textId="5506EE25" w:rsidR="00361CC8" w:rsidRPr="00AA526A" w:rsidRDefault="00361CC8" w:rsidP="00361CC8">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AE5896" id="_x0000_t202" coordsize="21600,21600" o:spt="202" path="m,l,21600r21600,l21600,xe">
                <v:stroke joinstyle="miter"/>
                <v:path gradientshapeok="t" o:connecttype="rect"/>
              </v:shapetype>
              <v:shape id="WordArt 2" o:spid="_x0000_s1026" type="#_x0000_t202" style="position:absolute;left:0;text-align:left;margin-left:79.5pt;margin-top:-11.65pt;width:640.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" filled="f" stroked="f">
                <o:lock v:ext="edit" shapetype="t"/>
                <v:textbox>
                  <w:txbxContent>
                    <w:p w14:paraId="05EAD524" w14:textId="3A5CDF8B" w:rsidR="00AA526A" w:rsidRDefault="00AA526A" w:rsidP="00AA526A">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令和</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７</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年度　「学校安心ルール」大阪市立清水丘小学校</w:t>
                      </w:r>
                    </w:p>
                    <w:p w14:paraId="6D4E1F13" w14:textId="5506EE25" w:rsidR="00361CC8" w:rsidRPr="00AA526A" w:rsidRDefault="00361CC8" w:rsidP="00361CC8">
                      <w:pPr>
                        <w:pStyle w:val="Web"/>
                        <w:spacing w:before="0" w:beforeAutospacing="0" w:after="0" w:afterAutospacing="0"/>
                        <w:jc w:val="center"/>
                      </w:pPr>
                    </w:p>
                  </w:txbxContent>
                </v:textbox>
              </v:shape>
            </w:pict>
          </mc:Fallback>
        </mc:AlternateContent>
      </w:r>
    </w:p>
    <w:p w14:paraId="7304D59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7D2178C7" wp14:editId="082369E6">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78C7"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4Tw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" fillcolor="white [3201]" strokecolor="black [3200]" strokeweight="2.5pt">
                <v:shadow color="#868686"/>
                <v:textbox inset="5.85pt,.7pt,5.85pt,.7pt">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B82979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FE230A"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F9336C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DA8A1B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94FEEC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76A62A8D"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4A87015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84BF672"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3A4CF4"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8A708CE"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B098A5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380D450F"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01F2A4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E994EC3"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FBB6320"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2D69EDD"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143205E5"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0A6F7DD0"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23A487C"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40FBB887"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3E2FA1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05A05504"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72EA3113"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D698FB4"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75BAB225"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165139C5"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4521E5A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73FC2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3C9D3EC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77D631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04FD95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325223BE"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7CC0FEDF" w14:textId="77777777" w:rsidTr="00AA526A">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E18DBCF"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AB5882F"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21367A2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41F9B0A4"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22FA686F"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B853087"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3FA3B2D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060FB48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38C4B4C"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5831704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7BAE6E66"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bottom w:val="single" w:sz="4" w:space="0" w:color="auto"/>
              <w:right w:val="double" w:sz="4" w:space="0" w:color="auto"/>
            </w:tcBorders>
            <w:vAlign w:val="center"/>
          </w:tcPr>
          <w:p w14:paraId="6DCE27E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18DCC113"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7E7C3C0"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414D9263"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7F5C08C"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E899DF"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3B63BFC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64DFD7EB" w14:textId="77777777" w:rsidTr="00AA526A">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2FE9917"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4C43C65F"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5F1DFB22"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1C38324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2ED88FD"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5DAD186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548E97C9"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61EED4"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3114420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71363965"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4844C7A2" w14:textId="77777777" w:rsidR="004518D3" w:rsidRPr="00AA526A"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Cs/>
                <w:color w:val="000000" w:themeColor="text1"/>
                <w:sz w:val="20"/>
                <w:szCs w:val="20"/>
              </w:rPr>
            </w:pPr>
            <w:r w:rsidRPr="00AA526A">
              <w:rPr>
                <w:rFonts w:asciiTheme="majorEastAsia" w:eastAsiaTheme="majorEastAsia" w:hAnsiTheme="majorEastAsia" w:hint="eastAsia"/>
                <w:bCs/>
                <w:color w:val="000000" w:themeColor="text1"/>
                <w:sz w:val="20"/>
                <w:szCs w:val="20"/>
              </w:rPr>
              <w:t>万引きや</w:t>
            </w:r>
            <w:r w:rsidR="00E638FF" w:rsidRPr="00AA526A">
              <w:rPr>
                <w:rFonts w:asciiTheme="majorEastAsia" w:eastAsiaTheme="majorEastAsia" w:hAnsiTheme="majorEastAsia" w:hint="eastAsia"/>
                <w:bCs/>
                <w:color w:val="000000" w:themeColor="text1"/>
                <w:sz w:val="20"/>
                <w:szCs w:val="20"/>
              </w:rPr>
              <w:t>バイクの無免許運転</w:t>
            </w:r>
            <w:r w:rsidRPr="00AA526A">
              <w:rPr>
                <w:rFonts w:asciiTheme="majorEastAsia" w:eastAsiaTheme="majorEastAsia" w:hAnsiTheme="majorEastAsia" w:hint="eastAsia"/>
                <w:bCs/>
                <w:color w:val="000000" w:themeColor="text1"/>
                <w:sz w:val="20"/>
                <w:szCs w:val="20"/>
              </w:rPr>
              <w:t>・飲酒・喫煙</w:t>
            </w:r>
            <w:r w:rsidR="009F7C9D" w:rsidRPr="00AA526A">
              <w:rPr>
                <w:rFonts w:asciiTheme="majorEastAsia" w:eastAsiaTheme="majorEastAsia" w:hAnsiTheme="majorEastAsia" w:hint="eastAsia"/>
                <w:bCs/>
                <w:color w:val="000000" w:themeColor="text1"/>
                <w:sz w:val="20"/>
                <w:szCs w:val="20"/>
              </w:rPr>
              <w:t>など</w:t>
            </w:r>
            <w:r w:rsidRPr="00AA526A">
              <w:rPr>
                <w:rFonts w:asciiTheme="majorEastAsia" w:eastAsiaTheme="majorEastAsia" w:hAnsiTheme="majorEastAsia" w:hint="eastAsia"/>
                <w:bCs/>
                <w:color w:val="000000" w:themeColor="text1"/>
                <w:sz w:val="20"/>
                <w:szCs w:val="20"/>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1AB7A1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7A771E2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6CC32DB"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22C7C511"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371E2AA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A6B3BCB"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7EE1CA6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B5832A6"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51A25CEB" wp14:editId="3B6C2ABF">
                <wp:simplePos x="0" y="0"/>
                <wp:positionH relativeFrom="margin">
                  <wp:align>right</wp:align>
                </wp:positionH>
                <wp:positionV relativeFrom="paragraph">
                  <wp:posOffset>67310</wp:posOffset>
                </wp:positionV>
                <wp:extent cx="9666605" cy="116205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6205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A29DE9" w14:textId="0D782D4B" w:rsidR="00A17B72" w:rsidRPr="00D07866" w:rsidRDefault="00F4304B" w:rsidP="00AA526A">
                            <w:pPr>
                              <w:spacing w:line="220" w:lineRule="exact"/>
                              <w:ind w:left="201" w:hangingChars="100" w:hanging="201"/>
                              <w:rPr>
                                <w:rFonts w:ascii="ＭＳ ゴシック" w:eastAsia="ＭＳ ゴシック" w:hAnsi="ＭＳ ゴシック" w:hint="eastAsia"/>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w:t>
                            </w:r>
                            <w:r w:rsidRPr="00AA526A">
                              <w:rPr>
                                <w:rFonts w:ascii="ＭＳ ゴシック" w:eastAsia="ＭＳ ゴシック" w:hAnsi="ＭＳ ゴシック" w:hint="eastAsia"/>
                                <w:b/>
                                <w:color w:val="000000" w:themeColor="text1"/>
                                <w:sz w:val="20"/>
                                <w:szCs w:val="20"/>
                                <w:u w:val="single"/>
                              </w:rPr>
                              <w:t>学校生活以外の事案に関しては、段階にかかわらず関係諸機関との連携となる場合があります。（</w:t>
                            </w:r>
                            <w:r w:rsidR="00097486" w:rsidRPr="00AA526A">
                              <w:rPr>
                                <w:rFonts w:ascii="ＭＳ ゴシック" w:eastAsia="ＭＳ ゴシック" w:hAnsi="ＭＳ ゴシック" w:hint="eastAsia"/>
                                <w:b/>
                                <w:color w:val="000000" w:themeColor="text1"/>
                                <w:sz w:val="20"/>
                                <w:szCs w:val="20"/>
                                <w:u w:val="single"/>
                              </w:rPr>
                              <w:t>ＳＮＳ</w:t>
                            </w:r>
                            <w:r w:rsidRPr="00AA526A">
                              <w:rPr>
                                <w:rFonts w:ascii="ＭＳ ゴシック" w:eastAsia="ＭＳ ゴシック" w:hAnsi="ＭＳ ゴシック" w:hint="eastAsia"/>
                                <w:b/>
                                <w:color w:val="000000" w:themeColor="text1"/>
                                <w:sz w:val="20"/>
                                <w:szCs w:val="20"/>
                                <w:u w:val="single"/>
                              </w:rPr>
                              <w:t>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5CEB" id="AutoShape 5" o:spid="_x0000_s1028" style="position:absolute;left:0;text-align:left;margin-left:709.95pt;margin-top:5.3pt;width:761.15pt;height:9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" fillcolor="white [3201]" strokecolor="black [3200]" strokeweight="2.5pt">
                <v:stroke linestyle="thinThin"/>
                <v:shadow color="#868686"/>
                <v:textbox inset="5.85pt,.7pt,5.85pt,.7pt">
                  <w:txbxContent>
                    <w:p w14:paraId="31A29DE9" w14:textId="0D782D4B" w:rsidR="00A17B72" w:rsidRPr="00D07866" w:rsidRDefault="00F4304B" w:rsidP="00AA526A">
                      <w:pPr>
                        <w:spacing w:line="220" w:lineRule="exact"/>
                        <w:ind w:left="201" w:hangingChars="100" w:hanging="201"/>
                        <w:rPr>
                          <w:rFonts w:ascii="ＭＳ ゴシック" w:eastAsia="ＭＳ ゴシック" w:hAnsi="ＭＳ ゴシック" w:hint="eastAsia"/>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w:t>
                      </w:r>
                      <w:r w:rsidRPr="00AA526A">
                        <w:rPr>
                          <w:rFonts w:ascii="ＭＳ ゴシック" w:eastAsia="ＭＳ ゴシック" w:hAnsi="ＭＳ ゴシック" w:hint="eastAsia"/>
                          <w:b/>
                          <w:color w:val="000000" w:themeColor="text1"/>
                          <w:sz w:val="20"/>
                          <w:szCs w:val="20"/>
                          <w:u w:val="single"/>
                        </w:rPr>
                        <w:t>学校生活以外の事案に関しては、段階にかかわらず関係諸機関との連携となる場合があります。（</w:t>
                      </w:r>
                      <w:r w:rsidR="00097486" w:rsidRPr="00AA526A">
                        <w:rPr>
                          <w:rFonts w:ascii="ＭＳ ゴシック" w:eastAsia="ＭＳ ゴシック" w:hAnsi="ＭＳ ゴシック" w:hint="eastAsia"/>
                          <w:b/>
                          <w:color w:val="000000" w:themeColor="text1"/>
                          <w:sz w:val="20"/>
                          <w:szCs w:val="20"/>
                          <w:u w:val="single"/>
                        </w:rPr>
                        <w:t>ＳＮＳ</w:t>
                      </w:r>
                      <w:r w:rsidRPr="00AA526A">
                        <w:rPr>
                          <w:rFonts w:ascii="ＭＳ ゴシック" w:eastAsia="ＭＳ ゴシック" w:hAnsi="ＭＳ ゴシック" w:hint="eastAsia"/>
                          <w:b/>
                          <w:color w:val="000000" w:themeColor="text1"/>
                          <w:sz w:val="20"/>
                          <w:szCs w:val="20"/>
                          <w:u w:val="single"/>
                        </w:rPr>
                        <w:t>にかかる事案に関しても同様です。）</w:t>
                      </w:r>
                    </w:p>
                  </w:txbxContent>
                </v:textbox>
                <w10:wrap anchorx="margin"/>
              </v:roundrect>
            </w:pict>
          </mc:Fallback>
        </mc:AlternateContent>
      </w:r>
    </w:p>
    <w:p w14:paraId="219BD130" w14:textId="77777777" w:rsidR="00AA5B3E" w:rsidRDefault="00AA5B3E" w:rsidP="00AD3F1C">
      <w:pPr>
        <w:rPr>
          <w:sz w:val="16"/>
          <w:szCs w:val="16"/>
        </w:rPr>
      </w:pPr>
    </w:p>
    <w:p w14:paraId="71B4F1D4" w14:textId="77777777" w:rsidR="002A6B49" w:rsidRDefault="002A6B49" w:rsidP="00AD3F1C">
      <w:pPr>
        <w:rPr>
          <w:sz w:val="16"/>
          <w:szCs w:val="16"/>
        </w:rPr>
      </w:pPr>
    </w:p>
    <w:sectPr w:rsidR="002A6B49" w:rsidSect="008F48A5">
      <w:headerReference w:type="default" r:id="rId7"/>
      <w:pgSz w:w="16838" w:h="11906" w:orient="landscape" w:code="9"/>
      <w:pgMar w:top="851"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7398" w14:textId="77777777" w:rsidR="001E45D0" w:rsidRDefault="001E45D0" w:rsidP="003404C4">
      <w:r>
        <w:separator/>
      </w:r>
    </w:p>
  </w:endnote>
  <w:endnote w:type="continuationSeparator" w:id="0">
    <w:p w14:paraId="61D83EAE"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705A" w14:textId="77777777" w:rsidR="001E45D0" w:rsidRDefault="001E45D0" w:rsidP="003404C4">
      <w:r>
        <w:separator/>
      </w:r>
    </w:p>
  </w:footnote>
  <w:footnote w:type="continuationSeparator" w:id="0">
    <w:p w14:paraId="4D1B90B2" w14:textId="77777777" w:rsidR="001E45D0" w:rsidRDefault="001E45D0" w:rsidP="0034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9E9" w14:textId="7794455D" w:rsidR="008F48A5" w:rsidRDefault="008F48A5" w:rsidP="008F48A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97486"/>
    <w:rsid w:val="000B17E0"/>
    <w:rsid w:val="000C29E0"/>
    <w:rsid w:val="000C5F05"/>
    <w:rsid w:val="000D0AE4"/>
    <w:rsid w:val="000D0DD3"/>
    <w:rsid w:val="000E2677"/>
    <w:rsid w:val="000F6ACF"/>
    <w:rsid w:val="000F7DF2"/>
    <w:rsid w:val="0010562B"/>
    <w:rsid w:val="00130335"/>
    <w:rsid w:val="00140916"/>
    <w:rsid w:val="00151601"/>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319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1B6E"/>
    <w:rsid w:val="0088328D"/>
    <w:rsid w:val="00886D2F"/>
    <w:rsid w:val="0089012C"/>
    <w:rsid w:val="008A7BE4"/>
    <w:rsid w:val="008E5E8C"/>
    <w:rsid w:val="008F48A5"/>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C74A6"/>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26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61473"/>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02E5"/>
    <w:rsid w:val="00FF311B"/>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FB3AA67"/>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F6B4-C7BF-4843-8475-A68F751F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gkf520601</cp:lastModifiedBy>
  <cp:revision>2</cp:revision>
  <cp:lastPrinted>2025-02-14T06:56:00Z</cp:lastPrinted>
  <dcterms:created xsi:type="dcterms:W3CDTF">2025-03-04T02:55:00Z</dcterms:created>
  <dcterms:modified xsi:type="dcterms:W3CDTF">2025-03-04T02:55:00Z</dcterms:modified>
</cp:coreProperties>
</file>